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C1A" w:rsidRDefault="00CF1E5A" w:rsidP="00CF1E5A">
      <w:pPr>
        <w:jc w:val="center"/>
        <w:rPr>
          <w:sz w:val="32"/>
          <w:szCs w:val="32"/>
        </w:rPr>
      </w:pPr>
      <w:bookmarkStart w:id="0" w:name="_GoBack"/>
      <w:bookmarkEnd w:id="0"/>
      <w:r>
        <w:rPr>
          <w:sz w:val="32"/>
          <w:szCs w:val="32"/>
        </w:rPr>
        <w:t>HPML Quick Reference Guide</w:t>
      </w:r>
    </w:p>
    <w:p w:rsidR="00CF1E5A" w:rsidRDefault="00CF1E5A" w:rsidP="00CF1E5A">
      <w:pPr>
        <w:jc w:val="center"/>
        <w:rPr>
          <w:sz w:val="32"/>
          <w:szCs w:val="32"/>
        </w:rPr>
      </w:pPr>
    </w:p>
    <w:p w:rsidR="00CF1E5A" w:rsidRDefault="00CF1E5A" w:rsidP="00CF1E5A">
      <w:pPr>
        <w:rPr>
          <w:sz w:val="24"/>
          <w:szCs w:val="24"/>
        </w:rPr>
      </w:pPr>
      <w:r>
        <w:rPr>
          <w:sz w:val="24"/>
          <w:szCs w:val="24"/>
        </w:rPr>
        <w:t>This is a quick reference guide for investor overlays for Rebuttable Presumption loans.  If the investor is not listed here, they have no additional requirements beyond the legal requirements of escrows on the loan for the first 5 years of the loan and having residual income.</w:t>
      </w:r>
    </w:p>
    <w:p w:rsidR="00CF1E5A" w:rsidRDefault="00CF1E5A" w:rsidP="00CF1E5A">
      <w:pPr>
        <w:rPr>
          <w:sz w:val="24"/>
          <w:szCs w:val="24"/>
        </w:rPr>
      </w:pPr>
    </w:p>
    <w:p w:rsidR="00CF1E5A" w:rsidRDefault="00CF1E5A" w:rsidP="00CF1E5A">
      <w:pPr>
        <w:rPr>
          <w:sz w:val="24"/>
          <w:szCs w:val="24"/>
        </w:rPr>
      </w:pPr>
      <w:r>
        <w:rPr>
          <w:sz w:val="24"/>
          <w:szCs w:val="24"/>
        </w:rPr>
        <w:t xml:space="preserve">Caliber – If </w:t>
      </w:r>
      <w:r w:rsidRPr="00F34E8D">
        <w:rPr>
          <w:i/>
          <w:sz w:val="24"/>
          <w:szCs w:val="24"/>
        </w:rPr>
        <w:t>Rebuttable Presumption</w:t>
      </w:r>
      <w:r>
        <w:rPr>
          <w:sz w:val="24"/>
          <w:szCs w:val="24"/>
        </w:rPr>
        <w:t xml:space="preserve">, </w:t>
      </w:r>
      <w:r w:rsidR="0083410F">
        <w:rPr>
          <w:sz w:val="24"/>
          <w:szCs w:val="24"/>
        </w:rPr>
        <w:t>requires an AUS accept, 620 min FICO, and 120% of the residual income requirements.</w:t>
      </w:r>
    </w:p>
    <w:p w:rsidR="00360CD0" w:rsidRDefault="00360CD0" w:rsidP="00CF1E5A">
      <w:pPr>
        <w:rPr>
          <w:sz w:val="24"/>
          <w:szCs w:val="24"/>
        </w:rPr>
      </w:pPr>
    </w:p>
    <w:p w:rsidR="0083410F" w:rsidRPr="00F34E8D" w:rsidRDefault="0083410F" w:rsidP="00CF1E5A">
      <w:pPr>
        <w:rPr>
          <w:b/>
          <w:sz w:val="24"/>
          <w:szCs w:val="24"/>
        </w:rPr>
      </w:pPr>
      <w:r>
        <w:rPr>
          <w:sz w:val="24"/>
          <w:szCs w:val="24"/>
        </w:rPr>
        <w:t xml:space="preserve">CMG </w:t>
      </w:r>
      <w:r w:rsidR="00133AA3">
        <w:rPr>
          <w:sz w:val="24"/>
          <w:szCs w:val="24"/>
        </w:rPr>
        <w:t xml:space="preserve">– </w:t>
      </w:r>
      <w:r w:rsidR="00133AA3" w:rsidRPr="00F34E8D">
        <w:rPr>
          <w:i/>
          <w:sz w:val="24"/>
          <w:szCs w:val="24"/>
        </w:rPr>
        <w:t>All HPMLs</w:t>
      </w:r>
      <w:r w:rsidR="00133AA3">
        <w:rPr>
          <w:sz w:val="24"/>
          <w:szCs w:val="24"/>
        </w:rPr>
        <w:t xml:space="preserve"> need an AUS accept.  If fixed rate, residual</w:t>
      </w:r>
      <w:r w:rsidR="00360CD0">
        <w:rPr>
          <w:sz w:val="24"/>
          <w:szCs w:val="24"/>
        </w:rPr>
        <w:t xml:space="preserve"> income must exceed $1,000. If  ARM, $1,000 residual income plus the difference in payment if the rate were to reach the lifetime cap.  </w:t>
      </w:r>
      <w:r w:rsidR="00360CD0" w:rsidRPr="00F34E8D">
        <w:rPr>
          <w:i/>
          <w:sz w:val="24"/>
          <w:szCs w:val="24"/>
        </w:rPr>
        <w:t>All VA loans are ineligible if they are Rebuttable Presumption.  VA loans must be Safe Harbor. Not allowed on USDA.</w:t>
      </w:r>
      <w:r w:rsidR="00F34E8D">
        <w:rPr>
          <w:i/>
          <w:sz w:val="24"/>
          <w:szCs w:val="24"/>
        </w:rPr>
        <w:t xml:space="preserve">  </w:t>
      </w:r>
      <w:r w:rsidR="00F34E8D">
        <w:rPr>
          <w:b/>
          <w:sz w:val="24"/>
          <w:szCs w:val="24"/>
        </w:rPr>
        <w:t xml:space="preserve">CMG is the only one with Safe Harbor overlays </w:t>
      </w:r>
    </w:p>
    <w:p w:rsidR="00360CD0" w:rsidRDefault="00360CD0" w:rsidP="00CF1E5A">
      <w:pPr>
        <w:rPr>
          <w:sz w:val="24"/>
          <w:szCs w:val="24"/>
        </w:rPr>
      </w:pPr>
    </w:p>
    <w:p w:rsidR="00360CD0" w:rsidRDefault="005E66A3" w:rsidP="00CF1E5A">
      <w:pPr>
        <w:rPr>
          <w:sz w:val="24"/>
          <w:szCs w:val="24"/>
        </w:rPr>
      </w:pPr>
      <w:r>
        <w:rPr>
          <w:sz w:val="24"/>
          <w:szCs w:val="24"/>
        </w:rPr>
        <w:t xml:space="preserve">OHFA -  If </w:t>
      </w:r>
      <w:r w:rsidRPr="00F34E8D">
        <w:rPr>
          <w:i/>
          <w:sz w:val="24"/>
          <w:szCs w:val="24"/>
        </w:rPr>
        <w:t>Rebuttable Presumption</w:t>
      </w:r>
      <w:r>
        <w:rPr>
          <w:sz w:val="24"/>
          <w:szCs w:val="24"/>
        </w:rPr>
        <w:t>, DTI is limited to 43%.  No exceptions.</w:t>
      </w:r>
    </w:p>
    <w:p w:rsidR="005E66A3" w:rsidRDefault="005E66A3" w:rsidP="00CF1E5A">
      <w:pPr>
        <w:rPr>
          <w:sz w:val="24"/>
          <w:szCs w:val="24"/>
        </w:rPr>
      </w:pPr>
    </w:p>
    <w:p w:rsidR="005E66A3" w:rsidRDefault="005E66A3" w:rsidP="00CF1E5A">
      <w:pPr>
        <w:rPr>
          <w:sz w:val="24"/>
          <w:szCs w:val="24"/>
        </w:rPr>
      </w:pPr>
      <w:r>
        <w:rPr>
          <w:sz w:val="24"/>
          <w:szCs w:val="24"/>
        </w:rPr>
        <w:t>Redwood – If property was acquired by seller less than 180 days prior to sale, loan will require a 2</w:t>
      </w:r>
      <w:r w:rsidRPr="005E66A3">
        <w:rPr>
          <w:sz w:val="24"/>
          <w:szCs w:val="24"/>
          <w:vertAlign w:val="superscript"/>
        </w:rPr>
        <w:t>nd</w:t>
      </w:r>
      <w:r>
        <w:rPr>
          <w:sz w:val="24"/>
          <w:szCs w:val="24"/>
        </w:rPr>
        <w:t xml:space="preserve"> appraisal.</w:t>
      </w:r>
    </w:p>
    <w:p w:rsidR="005E66A3" w:rsidRDefault="005E66A3" w:rsidP="00CF1E5A">
      <w:pPr>
        <w:rPr>
          <w:sz w:val="24"/>
          <w:szCs w:val="24"/>
        </w:rPr>
      </w:pPr>
    </w:p>
    <w:p w:rsidR="005E66A3" w:rsidRDefault="005E66A3" w:rsidP="00CF1E5A">
      <w:pPr>
        <w:rPr>
          <w:sz w:val="24"/>
          <w:szCs w:val="24"/>
        </w:rPr>
      </w:pPr>
      <w:r>
        <w:rPr>
          <w:sz w:val="24"/>
          <w:szCs w:val="24"/>
        </w:rPr>
        <w:t xml:space="preserve">Wells Fargo – </w:t>
      </w:r>
      <w:r w:rsidR="00F34E8D">
        <w:rPr>
          <w:sz w:val="24"/>
          <w:szCs w:val="24"/>
        </w:rPr>
        <w:t xml:space="preserve"> </w:t>
      </w:r>
      <w:r w:rsidR="00F34E8D" w:rsidRPr="00F34E8D">
        <w:rPr>
          <w:i/>
          <w:sz w:val="24"/>
          <w:szCs w:val="24"/>
        </w:rPr>
        <w:t>Rebuttable only</w:t>
      </w:r>
      <w:r w:rsidR="00EA1EF7">
        <w:rPr>
          <w:noProof/>
        </w:rPr>
        <w:drawing>
          <wp:inline distT="0" distB="0" distL="0" distR="0" wp14:anchorId="32D3574B" wp14:editId="66F430BE">
            <wp:extent cx="5943600" cy="201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2019300"/>
                    </a:xfrm>
                    <a:prstGeom prst="rect">
                      <a:avLst/>
                    </a:prstGeom>
                  </pic:spPr>
                </pic:pic>
              </a:graphicData>
            </a:graphic>
          </wp:inline>
        </w:drawing>
      </w:r>
    </w:p>
    <w:p w:rsidR="00360CD0" w:rsidRDefault="00360CD0" w:rsidP="00CF1E5A">
      <w:pPr>
        <w:rPr>
          <w:sz w:val="24"/>
          <w:szCs w:val="24"/>
        </w:rPr>
      </w:pPr>
    </w:p>
    <w:p w:rsidR="00360CD0" w:rsidRDefault="00360CD0" w:rsidP="00CF1E5A">
      <w:pPr>
        <w:rPr>
          <w:sz w:val="24"/>
          <w:szCs w:val="24"/>
        </w:rPr>
      </w:pPr>
    </w:p>
    <w:sectPr w:rsidR="00360C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E5A"/>
    <w:rsid w:val="00133AA3"/>
    <w:rsid w:val="00360CD0"/>
    <w:rsid w:val="004D09CE"/>
    <w:rsid w:val="005E66A3"/>
    <w:rsid w:val="006B3C1A"/>
    <w:rsid w:val="007D5373"/>
    <w:rsid w:val="0083410F"/>
    <w:rsid w:val="00A75A14"/>
    <w:rsid w:val="00CF1E5A"/>
    <w:rsid w:val="00EA1EF7"/>
    <w:rsid w:val="00F34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3D492D-32A4-4056-8C6E-ECCFA4ADB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Curt Ritchie</dc:creator>
  <cp:keywords/>
  <dc:description/>
  <cp:lastModifiedBy>Jeanine Drover</cp:lastModifiedBy>
  <cp:revision>2</cp:revision>
  <dcterms:created xsi:type="dcterms:W3CDTF">2018-11-16T18:03:00Z</dcterms:created>
  <dcterms:modified xsi:type="dcterms:W3CDTF">2018-11-16T18:03:00Z</dcterms:modified>
</cp:coreProperties>
</file>